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863"/>
        <w:gridCol w:w="1689"/>
        <w:gridCol w:w="2656"/>
        <w:gridCol w:w="4045"/>
        <w:gridCol w:w="1627"/>
      </w:tblGrid>
      <w:tr w:rsidR="00E06424" w:rsidRPr="00E06424" w:rsidTr="00E06424">
        <w:trPr>
          <w:trHeight w:val="300"/>
        </w:trPr>
        <w:tc>
          <w:tcPr>
            <w:tcW w:w="863"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Level</w:t>
            </w:r>
          </w:p>
        </w:tc>
        <w:tc>
          <w:tcPr>
            <w:tcW w:w="168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p>
        </w:tc>
        <w:tc>
          <w:tcPr>
            <w:tcW w:w="6701"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Kabupaten Kotawaringin Barat</w:t>
            </w:r>
          </w:p>
        </w:tc>
        <w:tc>
          <w:tcPr>
            <w:tcW w:w="1627" w:type="dxa"/>
            <w:tcBorders>
              <w:top w:val="nil"/>
              <w:left w:val="nil"/>
              <w:bottom w:val="nil"/>
              <w:right w:val="nil"/>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p>
        </w:tc>
      </w:tr>
      <w:tr w:rsidR="00E06424" w:rsidRPr="00E06424" w:rsidTr="00E06424">
        <w:trPr>
          <w:trHeight w:val="300"/>
        </w:trPr>
        <w:tc>
          <w:tcPr>
            <w:tcW w:w="2552"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Komponen</w:t>
            </w:r>
          </w:p>
        </w:tc>
        <w:tc>
          <w:tcPr>
            <w:tcW w:w="6701"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A. Hukum dan Kebijakan</w:t>
            </w:r>
          </w:p>
        </w:tc>
        <w:tc>
          <w:tcPr>
            <w:tcW w:w="1627" w:type="dxa"/>
            <w:tcBorders>
              <w:top w:val="nil"/>
              <w:left w:val="nil"/>
              <w:bottom w:val="nil"/>
              <w:right w:val="nil"/>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p>
        </w:tc>
      </w:tr>
      <w:tr w:rsidR="00E06424" w:rsidRPr="00E06424" w:rsidTr="00E06424">
        <w:trPr>
          <w:trHeight w:val="300"/>
        </w:trPr>
        <w:tc>
          <w:tcPr>
            <w:tcW w:w="863" w:type="dxa"/>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p>
        </w:tc>
        <w:tc>
          <w:tcPr>
            <w:tcW w:w="1689" w:type="dxa"/>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p>
        </w:tc>
        <w:tc>
          <w:tcPr>
            <w:tcW w:w="2656" w:type="dxa"/>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p>
        </w:tc>
        <w:tc>
          <w:tcPr>
            <w:tcW w:w="4045" w:type="dxa"/>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p>
        </w:tc>
        <w:tc>
          <w:tcPr>
            <w:tcW w:w="1627" w:type="dxa"/>
            <w:tcBorders>
              <w:top w:val="nil"/>
              <w:left w:val="nil"/>
              <w:bottom w:val="nil"/>
              <w:right w:val="nil"/>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p>
        </w:tc>
      </w:tr>
      <w:tr w:rsidR="00E06424" w:rsidRPr="00E06424" w:rsidTr="00E06424">
        <w:trPr>
          <w:trHeight w:val="300"/>
        </w:trPr>
        <w:tc>
          <w:tcPr>
            <w:tcW w:w="2552"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Isu dalam PGA REDD+</w:t>
            </w:r>
          </w:p>
        </w:tc>
        <w:tc>
          <w:tcPr>
            <w:tcW w:w="6701"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xml:space="preserve">:  I. Perencanaan Kehutanan dan Tata Ruang </w:t>
            </w:r>
          </w:p>
        </w:tc>
        <w:tc>
          <w:tcPr>
            <w:tcW w:w="1627"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p>
        </w:tc>
      </w:tr>
      <w:tr w:rsidR="00E06424" w:rsidRPr="00E06424" w:rsidTr="00E06424">
        <w:trPr>
          <w:trHeight w:val="690"/>
        </w:trPr>
        <w:tc>
          <w:tcPr>
            <w:tcW w:w="2552"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8328" w:type="dxa"/>
            <w:gridSpan w:val="3"/>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xml:space="preserve">: a. Keberadaan dan komprehensiveness aturan yang mengatur transparansi penyusunan perencanaan kehutanan dan Rencana Tata Ruang dan Rencana Wilayah (RTRW) </w:t>
            </w:r>
          </w:p>
        </w:tc>
      </w:tr>
      <w:tr w:rsidR="00E06424" w:rsidRPr="00E06424" w:rsidTr="00E06424">
        <w:trPr>
          <w:trHeight w:val="975"/>
        </w:trPr>
        <w:tc>
          <w:tcPr>
            <w:tcW w:w="2552"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Objek Analisis</w:t>
            </w:r>
          </w:p>
        </w:tc>
        <w:tc>
          <w:tcPr>
            <w:tcW w:w="8328" w:type="dxa"/>
            <w:gridSpan w:val="3"/>
            <w:tcBorders>
              <w:top w:val="nil"/>
              <w:left w:val="nil"/>
              <w:bottom w:val="single" w:sz="4" w:space="0" w:color="auto"/>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Undang-Undang, Peraturan Pemerintah, Peraturan Presiden, Keputusan Presiden, Instruksi Presiden, Peraturan Menteri, Keputusan Menteri, Peraturan Gubernur, Peraturan Daerah atau peraturan yang bersifat teknis</w:t>
            </w:r>
          </w:p>
        </w:tc>
      </w:tr>
    </w:tbl>
    <w:p w:rsidR="00D74DB4" w:rsidRDefault="00D74DB4"/>
    <w:tbl>
      <w:tblPr>
        <w:tblW w:w="4953" w:type="pct"/>
        <w:tblInd w:w="103" w:type="dxa"/>
        <w:tblLook w:val="04A0"/>
      </w:tblPr>
      <w:tblGrid>
        <w:gridCol w:w="850"/>
        <w:gridCol w:w="2368"/>
        <w:gridCol w:w="1749"/>
        <w:gridCol w:w="4249"/>
        <w:gridCol w:w="1669"/>
      </w:tblGrid>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single" w:sz="4" w:space="0" w:color="auto"/>
              <w:left w:val="nil"/>
              <w:bottom w:val="nil"/>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126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AIa1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Data/informasi pembuatan RTRW</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 xml:space="preserve">Tidak didapati aturan yang secara khusus tentang pempenyusunan perencanaan kehutanan dan RTWR di Kabupaten Kota Waringin Barat. </w:t>
            </w:r>
          </w:p>
        </w:tc>
        <w:tc>
          <w:tcPr>
            <w:tcW w:w="166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60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AIa2</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Informasi rencana pembentukan RTRW(K)</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60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AIa3</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Pengumuman usulan perubahan peruntukan</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60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AIa4</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Kejelasan informasi  yang dapat diakses berdasarkan uji konsekuensi</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ditemukan aturan yang secara khusus tentang kejelasan informasi yang dapat diakses berdasarkan uji konsekuensi terkait dengan perencanaan kehutanan. Instilah kejelasan informasi terkait perencanaan hanya didapati dalam aturan terkait pengelolaan lingkungan hidup yaitu Perda No 4 tahun 2008 tentang AMDAL, dalam Bab III, Pasal 3 dengan istilah "keterbukaan infiormasi" untuk menjelasakan kegunaan AMDAL sebagai " keterbukaan informasi sejak awal pembangunan dengan melibatkan masyarakat yang kemungkinan terkena dampak"</w:t>
            </w:r>
          </w:p>
        </w:tc>
        <w:tc>
          <w:tcPr>
            <w:tcW w:w="166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
        </w:trPr>
        <w:tc>
          <w:tcPr>
            <w:tcW w:w="850" w:type="dxa"/>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p>
        </w:tc>
        <w:tc>
          <w:tcPr>
            <w:tcW w:w="2368" w:type="dxa"/>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p>
        </w:tc>
        <w:tc>
          <w:tcPr>
            <w:tcW w:w="1749" w:type="dxa"/>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p>
        </w:tc>
        <w:tc>
          <w:tcPr>
            <w:tcW w:w="4249" w:type="dxa"/>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p>
        </w:tc>
        <w:tc>
          <w:tcPr>
            <w:tcW w:w="1669" w:type="dxa"/>
            <w:tcBorders>
              <w:top w:val="nil"/>
              <w:left w:val="nil"/>
              <w:bottom w:val="nil"/>
              <w:right w:val="nil"/>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p>
        </w:tc>
      </w:tr>
      <w:tr w:rsidR="00E06424" w:rsidRPr="00E06424" w:rsidTr="00E06424">
        <w:trPr>
          <w:trHeight w:val="66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b. Keberadaan dan komprehensiveness aturan yang mengatur penyusunan perencanaan kehutanan dan Rencana Tata Ruang dan Rencana Wilayah (RTRW) yang partisipatif</w:t>
            </w:r>
          </w:p>
        </w:tc>
      </w:tr>
      <w:tr w:rsidR="00E06424" w:rsidRPr="00E06424" w:rsidTr="00E06424">
        <w:trPr>
          <w:trHeight w:val="1035"/>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Objek Analisis</w:t>
            </w:r>
          </w:p>
        </w:tc>
        <w:tc>
          <w:tcPr>
            <w:tcW w:w="7667" w:type="dxa"/>
            <w:gridSpan w:val="3"/>
            <w:tcBorders>
              <w:top w:val="nil"/>
              <w:left w:val="nil"/>
              <w:bottom w:val="single" w:sz="4" w:space="0" w:color="auto"/>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Undang-Undang, Peraturan Pemerintah, Peraturan Presiden, Keputusan Presiden, Instruksi Presiden, Peraturan Menteri, Keputusan Menteri, Peraturan Gubernur, Peraturan Daerah atau peraturan yang bersifat teknis</w:t>
            </w:r>
          </w:p>
        </w:tc>
      </w:tr>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nil"/>
              <w:left w:val="nil"/>
              <w:bottom w:val="nil"/>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7065"/>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lastRenderedPageBreak/>
              <w:t>AIb1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Mekanisme pengambilan keputusan yang memudahkan keterlibatan pihak yang berkepentingan</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Permendgari No 47/2012 tentang  PEDOMAN PENYUSUNAN PERATURAN DAERAH TENTANG RTRW</w:t>
            </w:r>
          </w:p>
        </w:tc>
        <w:tc>
          <w:tcPr>
            <w:tcW w:w="424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 xml:space="preserve">Tidak didapati aturan di kab. KOBAR yang menjelaskan penysusunan perencanaan aturan kehutanan dan RTRW yang partisipatif, karena hal yang sama juga terjadi pada level provinsi, saat ini penysunan perencanaan mengacu kepada Permendgari No 47/2012 tentang  PEDOMAN PENYUSUNAN PERATURAN DAERAH TENTANG </w:t>
            </w:r>
            <w:r w:rsidRPr="00E06424">
              <w:rPr>
                <w:rFonts w:ascii="Times New Roman" w:eastAsia="Times New Roman" w:hAnsi="Times New Roman" w:cs="Times New Roman"/>
                <w:color w:val="000000"/>
                <w:lang w:eastAsia="id-ID"/>
              </w:rPr>
              <w:br/>
              <w:t>RENCANA TATA RUANG WILAYAH PROVINSI DAN KABUPATEN/KOTA. Dalam Bab III, pasal 29 tentang TATA CARA PENYUSUNAN PERDA TENTANG RTRW, keterlibatan publik hanya secara implisit disebutkan dalam pasal 3 tentang dokumen lain sebagai pendukung, disebutkan "berita acara konsultasi publik" dengan tidak ada penjelasan mengenai kategori para pihak yang terlibat dalam proses penyusunan perencanaan dan tidak spesifik menjelaskan perencanaan kehutanan dan mekanisme pengambilan keputusannya kecuali dalam pasal 30 hanya menjelaskan bahwa konsultasi atas subtansi dilakukan sebelum RTRW disetujui bersama DPRD</w:t>
            </w:r>
          </w:p>
        </w:tc>
        <w:tc>
          <w:tcPr>
            <w:tcW w:w="166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45"/>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AIb2</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Petugas khusus yang bertanggung jawab mengelola masukan publik</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Laporan Tahunan Dinas Kehutanan kab. Kotawaringin Barat 2011</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 xml:space="preserve">Tidak ada aturan yang menjelaskan petugas yang bertanggung jawab atas masukan publik dalam penyusunan perencanaan kehutanan dan RTRW. Yang ada hanya aturan tentang Tupoksi Dinas Kehutanan Perda No 22 Tahun 2009 yang dua fungsi diantaranya adalah:  (1) perumusan kebijakan teknis bidang kehutanan sesuai dengan kebijaksanaan yang ditetap Bupati sesuai dengan perundang-undang yang berlaku, (2) pembinaan, pelayanan, pengawasan, pengendalian, monitoring, evaluasi dan pelaporan penyelenggaraan kehutanan. </w:t>
            </w:r>
          </w:p>
        </w:tc>
        <w:tc>
          <w:tcPr>
            <w:tcW w:w="166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60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AIb3</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Dokumentasi setiap masukan (tertulis/tidak tertulis)</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60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AIb4</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Mekanisme respon terhadap masukan yang ada</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60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AIb5</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Penjelasan atas keputusan akhir yang diambil</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60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AIb6</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Pelaksanaan proses partisipasi</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
        </w:trPr>
        <w:tc>
          <w:tcPr>
            <w:tcW w:w="850" w:type="dxa"/>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60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c. Keberadaan dan komprehensiveness aturan yang mengatur program peningkatan kapasitas masyarakat dalam proses perencanaan kehutanan dan Rencana Tata Ruang dan Rencana Wilayah (RTRW)</w:t>
            </w:r>
          </w:p>
        </w:tc>
      </w:tr>
      <w:tr w:rsidR="00E06424" w:rsidRPr="00E06424" w:rsidTr="00E06424">
        <w:trPr>
          <w:trHeight w:val="123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lastRenderedPageBreak/>
              <w:t>Objek Analisis</w:t>
            </w:r>
          </w:p>
        </w:tc>
        <w:tc>
          <w:tcPr>
            <w:tcW w:w="7667" w:type="dxa"/>
            <w:gridSpan w:val="3"/>
            <w:tcBorders>
              <w:top w:val="nil"/>
              <w:left w:val="nil"/>
              <w:bottom w:val="single" w:sz="4" w:space="0" w:color="auto"/>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Undang-Undang, Peraturan Pemerintah, Peraturan Presiden, Keputusan Presiden, Instruksi Presiden, Peraturan Menteri, Keputusan Menteri, Peraturan Gubernur, Peraturan Daerah atau peraturan yang bersifat Teknis, RPJMN/D, Renstranas/da</w:t>
            </w:r>
          </w:p>
        </w:tc>
      </w:tr>
      <w:tr w:rsidR="00E06424" w:rsidRPr="00E06424" w:rsidTr="00E06424">
        <w:trPr>
          <w:trHeight w:val="300"/>
        </w:trPr>
        <w:tc>
          <w:tcPr>
            <w:tcW w:w="850" w:type="dxa"/>
            <w:tcBorders>
              <w:top w:val="single" w:sz="4" w:space="0" w:color="auto"/>
              <w:left w:val="single" w:sz="4" w:space="0" w:color="auto"/>
              <w:bottom w:val="nil"/>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nil"/>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nil"/>
              <w:left w:val="nil"/>
              <w:bottom w:val="nil"/>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nil"/>
              <w:left w:val="nil"/>
              <w:bottom w:val="nil"/>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nil"/>
              <w:left w:val="nil"/>
              <w:bottom w:val="nil"/>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1905"/>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AIc1</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Program peningkatan kapasitas masyarakat Adat/ Lokal dalam perencanaan kehutanan dan wilayah</w:t>
            </w:r>
          </w:p>
        </w:tc>
        <w:tc>
          <w:tcPr>
            <w:tcW w:w="1749" w:type="dxa"/>
            <w:tcBorders>
              <w:top w:val="single" w:sz="4" w:space="0" w:color="auto"/>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dapati dokumen yang menjelaskan aturan yang dimaksud dalam item pertanyaan. Namun dalam laporan tahunan Dinas Kehutanan Kab. Kobar 2011 terdapat program peningkatan peran serta masyarakat dalam rehabilitas hutan.</w:t>
            </w:r>
          </w:p>
        </w:tc>
        <w:tc>
          <w:tcPr>
            <w:tcW w:w="1669" w:type="dxa"/>
            <w:tcBorders>
              <w:top w:val="single" w:sz="4" w:space="0" w:color="auto"/>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20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AIc2</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Program peningkatan kapasitas pemerintah dalam perencanaan kehuatanan dan wilayah</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
        </w:trPr>
        <w:tc>
          <w:tcPr>
            <w:tcW w:w="850" w:type="dxa"/>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945"/>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d. Keberadaan dan komprehensiveness aturan yang mengatur Mekanisme penanganan pengaduan dalam proses perencanaan kehutanan dan Rencana Tata Ruang dan Rencana Wilayah (RTRW)</w:t>
            </w:r>
          </w:p>
        </w:tc>
      </w:tr>
      <w:tr w:rsidR="00E06424" w:rsidRPr="00E06424" w:rsidTr="00E06424">
        <w:trPr>
          <w:trHeight w:val="1005"/>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7667" w:type="dxa"/>
            <w:gridSpan w:val="3"/>
            <w:tcBorders>
              <w:top w:val="nil"/>
              <w:left w:val="nil"/>
              <w:bottom w:val="single" w:sz="4" w:space="0" w:color="auto"/>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Undang-Undang, Peraturan Pemerintah, Peraturan Presiden, Keputusan Presiden, Instruksi Presiden, Peraturan Menteri, Keputusan Menteri, Peraturan Gubernur, Peraturan Daerah atau peraturan yang bersifat teknis</w:t>
            </w:r>
          </w:p>
        </w:tc>
      </w:tr>
      <w:tr w:rsidR="00E06424" w:rsidRPr="00E06424" w:rsidTr="00E06424">
        <w:trPr>
          <w:trHeight w:val="300"/>
        </w:trPr>
        <w:tc>
          <w:tcPr>
            <w:tcW w:w="850" w:type="dxa"/>
            <w:tcBorders>
              <w:top w:val="single" w:sz="4" w:space="0" w:color="auto"/>
              <w:left w:val="single" w:sz="4" w:space="0" w:color="auto"/>
              <w:bottom w:val="nil"/>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nil"/>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nil"/>
              <w:left w:val="nil"/>
              <w:bottom w:val="nil"/>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nil"/>
              <w:left w:val="nil"/>
              <w:bottom w:val="nil"/>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nil"/>
              <w:left w:val="nil"/>
              <w:bottom w:val="nil"/>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12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AId1</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Mekanisme pengaduan (termasuk ketentuan tenggat waktu &amp; tindakan yang diambil)</w:t>
            </w:r>
          </w:p>
        </w:tc>
        <w:tc>
          <w:tcPr>
            <w:tcW w:w="1749" w:type="dxa"/>
            <w:tcBorders>
              <w:top w:val="single" w:sz="4" w:space="0" w:color="auto"/>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single" w:sz="4" w:space="0" w:color="auto"/>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AId2</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Mekanisme resolusi konflik</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90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AId3</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Keahlian &amp; pemahaman mediator tentang isu-isu masyarakat adat/lokal</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
        </w:trPr>
        <w:tc>
          <w:tcPr>
            <w:tcW w:w="850"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33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Isu dalam PGA REDD+</w:t>
            </w:r>
          </w:p>
        </w:tc>
        <w:tc>
          <w:tcPr>
            <w:tcW w:w="599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II.Pengaturan Hak</w:t>
            </w: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p>
        </w:tc>
      </w:tr>
      <w:tr w:rsidR="00E06424" w:rsidRPr="00E06424" w:rsidTr="00E06424">
        <w:trPr>
          <w:trHeight w:val="69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a. Keberadaan dan komprehensiveness aturan yang mengatur transparansi penetapan hak kelola hutan bagi masyarakat adat/lokal dan bisnis</w:t>
            </w:r>
          </w:p>
        </w:tc>
      </w:tr>
      <w:tr w:rsidR="00E06424" w:rsidRPr="00E06424" w:rsidTr="00E06424">
        <w:trPr>
          <w:trHeight w:val="63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7667" w:type="dxa"/>
            <w:gridSpan w:val="3"/>
            <w:tcBorders>
              <w:top w:val="nil"/>
              <w:left w:val="nil"/>
              <w:bottom w:val="single" w:sz="4" w:space="0" w:color="auto"/>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Sumber (Undang2 keterbukaan informasi publik, PP, permenhut ttg pemberian ijin, pergub/bup (terkait kehutanan), Permenhut 7/2011</w:t>
            </w:r>
            <w:r w:rsidRPr="00E06424">
              <w:rPr>
                <w:rFonts w:ascii="Times New Roman" w:eastAsia="Times New Roman" w:hAnsi="Times New Roman" w:cs="Times New Roman"/>
                <w:b/>
                <w:bCs/>
                <w:color w:val="000000"/>
                <w:lang w:eastAsia="id-ID"/>
              </w:rPr>
              <w:br/>
            </w:r>
          </w:p>
        </w:tc>
      </w:tr>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9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AIIa1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Ketersediaan seluruh informasi secara sistematis sehingga mudah diakses</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9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AIIa2</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Kewajiban memiliki petugas khusus yang menangani permintaan informasi</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Aturan yang tersedia hanya menjelaskan tentang Tupoksi Dinas Kehutanan (Perbup No 22 tahun 2009)</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2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lastRenderedPageBreak/>
              <w:t>AIIa3</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Kewajiban pemberian akses bagi publik baik secara proaktif maupun berdasarkan permintaan</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24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AIIa4</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Informasi yang diumumkan tentang rencana kegiatan/proyek yang disertai dengan dokumen pendukungnya</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aturan tentang pengumuman informasi tentang rencana/proyek terkait dengan pengelolaan hutan. Secara umum dalam rangka transparansi pengadaan dan pelaksanaan proyek di Kab. Kobar telah dilakukan melalui pembentukan UPT LPSE, yang mengacu kepada UU No 14/2008 tentang keterbukaan informasi publik dan Perpres 54/2010 tentang pengadaan bara/jasa pemerintah</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5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AIIa5</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Batasan atas informasi yg dapat diakses diatur dengan jelas dan didasarkan pada kepentingan publik (balancing public interest test)</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9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AIIa6</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Sanksi bagi pihak-pihak yang sengaja menghambat akses publik atas informasi</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
        </w:trPr>
        <w:tc>
          <w:tcPr>
            <w:tcW w:w="850"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90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b. Keberadaan dan komprehensiveness aturan yang mengatur pengakuan atas hak kelola hutan yang dimiliki oleh masyarakat adat, masyarakat lokal dan bisnis  terhadap hutan</w:t>
            </w:r>
          </w:p>
        </w:tc>
      </w:tr>
      <w:tr w:rsidR="00E06424" w:rsidRPr="00E06424" w:rsidTr="00E06424">
        <w:trPr>
          <w:trHeight w:val="39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7667" w:type="dxa"/>
            <w:gridSpan w:val="3"/>
            <w:tcBorders>
              <w:top w:val="nil"/>
              <w:left w:val="nil"/>
              <w:bottom w:val="single" w:sz="4" w:space="0" w:color="auto"/>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UU, Permenhut, Perda</w:t>
            </w:r>
            <w:r w:rsidRPr="00E06424">
              <w:rPr>
                <w:rFonts w:ascii="Times New Roman" w:eastAsia="Times New Roman" w:hAnsi="Times New Roman" w:cs="Times New Roman"/>
                <w:b/>
                <w:bCs/>
                <w:color w:val="000000"/>
                <w:lang w:eastAsia="id-ID"/>
              </w:rPr>
              <w:br/>
            </w:r>
          </w:p>
        </w:tc>
      </w:tr>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12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AIIb1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Pengakuan atas pengelolaan wilayah adat/lokal (sejalan dengan struktur dan pola yang ada)</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6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AIIb2</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Mekanisme mendapatkan izin pengelolaan</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6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AIIb3</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Keuntungan bagi masyarakat Adat/Lokal</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
        </w:trPr>
        <w:tc>
          <w:tcPr>
            <w:tcW w:w="850"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90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c. Keberadaan dan komprehensiveness aturan yang mengatur perlindungan terhadap hak kelola hutan yang telah diberikan kepada masyarakat adat, masyarakat lokal dan bisnis</w:t>
            </w:r>
          </w:p>
        </w:tc>
      </w:tr>
      <w:tr w:rsidR="00E06424" w:rsidRPr="00E06424" w:rsidTr="00E06424">
        <w:trPr>
          <w:trHeight w:val="39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7667" w:type="dxa"/>
            <w:gridSpan w:val="3"/>
            <w:tcBorders>
              <w:top w:val="nil"/>
              <w:left w:val="nil"/>
              <w:bottom w:val="single" w:sz="4" w:space="0" w:color="auto"/>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UU, Permenhut, Perda</w:t>
            </w:r>
            <w:r w:rsidRPr="00E06424">
              <w:rPr>
                <w:rFonts w:ascii="Times New Roman" w:eastAsia="Times New Roman" w:hAnsi="Times New Roman" w:cs="Times New Roman"/>
                <w:b/>
                <w:bCs/>
                <w:color w:val="000000"/>
                <w:lang w:eastAsia="id-ID"/>
              </w:rPr>
              <w:br/>
            </w:r>
          </w:p>
        </w:tc>
      </w:tr>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9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lastRenderedPageBreak/>
              <w:t>AIIc1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Sanksi/ancaman hukum bagi yang melakukan perambahan (di atas lahan bebas konflik)</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2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AIIc2</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Sanksi/ancaman hukum bagi pejabat pemberi izin (di atas lahan yang telah memiliki hak)</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9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AIIc3</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Ganti rugi bagi pemegang hak yang dirugikan (mudah &amp; memadai)</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
        </w:trPr>
        <w:tc>
          <w:tcPr>
            <w:tcW w:w="850"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90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d. Keberadaan dan komprehensiveness aturan yang mengatur program peningkatan kapasitas masyarakat untuk mengakses hak pengelolaan hutan</w:t>
            </w:r>
          </w:p>
        </w:tc>
      </w:tr>
      <w:tr w:rsidR="00E06424" w:rsidRPr="00E06424" w:rsidTr="00E06424">
        <w:trPr>
          <w:trHeight w:val="39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7667" w:type="dxa"/>
            <w:gridSpan w:val="3"/>
            <w:tcBorders>
              <w:top w:val="nil"/>
              <w:left w:val="nil"/>
              <w:bottom w:val="single" w:sz="4" w:space="0" w:color="auto"/>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UU, Permenhut, Perda</w:t>
            </w:r>
            <w:r w:rsidRPr="00E06424">
              <w:rPr>
                <w:rFonts w:ascii="Times New Roman" w:eastAsia="Times New Roman" w:hAnsi="Times New Roman" w:cs="Times New Roman"/>
                <w:b/>
                <w:bCs/>
                <w:color w:val="000000"/>
                <w:lang w:eastAsia="id-ID"/>
              </w:rPr>
              <w:br/>
            </w:r>
          </w:p>
        </w:tc>
      </w:tr>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15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AIId1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Program peningkatan kapasitas masyarakat Adat/ Lokal untuk mengakses hak pengelolaan hutan</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 xml:space="preserve">tidak dapati dokumen yang menjelaskan aturan yang dimaksud dalam item pertanyaan. Namun dalam </w:t>
            </w:r>
            <w:r w:rsidRPr="00E06424">
              <w:rPr>
                <w:rFonts w:ascii="Times New Roman" w:eastAsia="Times New Roman" w:hAnsi="Times New Roman" w:cs="Times New Roman"/>
                <w:b/>
                <w:bCs/>
                <w:color w:val="000000"/>
                <w:lang w:eastAsia="id-ID"/>
              </w:rPr>
              <w:t>laporan tahunan Dinas Kehutanan Kab. Kobar 2011</w:t>
            </w:r>
            <w:r w:rsidRPr="00E06424">
              <w:rPr>
                <w:rFonts w:ascii="Times New Roman" w:eastAsia="Times New Roman" w:hAnsi="Times New Roman" w:cs="Times New Roman"/>
                <w:color w:val="000000"/>
                <w:lang w:eastAsia="id-ID"/>
              </w:rPr>
              <w:t xml:space="preserve"> terdapat program peningkatan peran serta masyarakat dalam rehabilitas hutan.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249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AIId2</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Program peningkatan kapasitas pemerintah (pada tingkatan) lebih rendah</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laporan tahunan dinas kehutanan 2011</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aturan yang secara khusus tentang peningkatan kapasitas pemerintah namun, dalam laporan tahunan dinas kehutanan 2011, disebutkan terdapat program pendidikan kapasitas pemerintah dalam 3 kategori jenis pelatihan dan pendidikan: (1) Pendidikan penjenjangan struktural, (2) pendidikan dan latihan teknis kehutanan, (3) pendidikan dan pelatihan non teknis kehutanan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3</w:t>
            </w:r>
          </w:p>
        </w:tc>
      </w:tr>
      <w:tr w:rsidR="00E06424" w:rsidRPr="00E06424" w:rsidTr="00E06424">
        <w:trPr>
          <w:trHeight w:val="12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AIId3</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Mekanisme mengakses anggaran peningkatan kapasitas bagi masyarakat Adat/Lokal</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2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AIId4</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Program peningkatan kapasitas masyarakat dan Pemerintah Daerah secara partisipatif</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
        </w:trPr>
        <w:tc>
          <w:tcPr>
            <w:tcW w:w="850"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33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Isu dalam PGA REDD+</w:t>
            </w:r>
          </w:p>
        </w:tc>
        <w:tc>
          <w:tcPr>
            <w:tcW w:w="599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III. Pengorganisasian Hutan</w:t>
            </w: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p>
        </w:tc>
      </w:tr>
      <w:tr w:rsidR="00E06424" w:rsidRPr="00E06424" w:rsidTr="00E06424">
        <w:trPr>
          <w:trHeight w:val="90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xml:space="preserve">: a. Keberadaan dan komprehensiveness aturan yang mengatur akuntablitas institusi pengelolaan hutan dan lahan gambut </w:t>
            </w:r>
          </w:p>
        </w:tc>
      </w:tr>
      <w:tr w:rsidR="00E06424" w:rsidRPr="00E06424" w:rsidTr="00E06424">
        <w:trPr>
          <w:trHeight w:val="39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7667" w:type="dxa"/>
            <w:gridSpan w:val="3"/>
            <w:tcBorders>
              <w:top w:val="nil"/>
              <w:left w:val="nil"/>
              <w:bottom w:val="single" w:sz="4" w:space="0" w:color="auto"/>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UU, Permenhut</w:t>
            </w:r>
            <w:r w:rsidRPr="00E06424">
              <w:rPr>
                <w:rFonts w:ascii="Times New Roman" w:eastAsia="Times New Roman" w:hAnsi="Times New Roman" w:cs="Times New Roman"/>
                <w:b/>
                <w:bCs/>
                <w:color w:val="000000"/>
                <w:lang w:eastAsia="id-ID"/>
              </w:rPr>
              <w:br/>
            </w:r>
          </w:p>
        </w:tc>
      </w:tr>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277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lastRenderedPageBreak/>
              <w:t>AIIIa1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Kejelasan tugas &amp; wewenang pengelolaan hutan &amp; lahan gambut</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Perbup 22/2009</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aturan tentang tugas dan wewenang pengelolaan hutan yang didapati dalam perbub non 22/2009 yang menjelaskan tentang tugas pokok dan fungsi dinas kehutanan Kotawaringin Barat, namun demikian tidak dapati mengenai penjelasan spesifik apakah tugas dan wewenang pengelolaan lahan gambut menjadi termasuk tugas wewenang dinas kehutanan Kotawaringin Barat. (lihat pasal 7 tentang tugas dan fungsi)</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2</w:t>
            </w:r>
          </w:p>
        </w:tc>
      </w:tr>
      <w:tr w:rsidR="00E06424" w:rsidRPr="00E06424" w:rsidTr="00E06424">
        <w:trPr>
          <w:trHeight w:val="6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AIIIa2</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Transparansi output tahunan dan capaian institusi</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6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AIIIa3</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Anggaran berbasis kinerja (Budget based on performance)</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ditemukan aturan terkait kecuali Perda no 1 tahun 2009 tentang  APBD tahun 2009, demikian pula dalam Perda No 13/2008 tentang KELEMBAGAAN, STRUKTUR ORGANISASI, TUGAS POKOK,</w:t>
            </w:r>
            <w:r w:rsidRPr="00E06424">
              <w:rPr>
                <w:rFonts w:ascii="Times New Roman" w:eastAsia="Times New Roman" w:hAnsi="Times New Roman" w:cs="Times New Roman"/>
                <w:color w:val="000000"/>
                <w:lang w:eastAsia="id-ID"/>
              </w:rPr>
              <w:br/>
              <w:t>FUNGSI DAN TATA KERJA DINAS PENGELOLAAN KEUANGAN</w:t>
            </w:r>
            <w:r w:rsidRPr="00E06424">
              <w:rPr>
                <w:rFonts w:ascii="Times New Roman" w:eastAsia="Times New Roman" w:hAnsi="Times New Roman" w:cs="Times New Roman"/>
                <w:color w:val="000000"/>
                <w:lang w:eastAsia="id-ID"/>
              </w:rPr>
              <w:br/>
              <w:t>DAERAH KABUPATEN KOTAWARINGIN BARAT tidak dtemukan penjelasan mengenai tupoksi pemberian petunjukan pelaksanaan penggunaan anggaran berbasis kinerja (lihat pasal 3)</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AIIIa4</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Desentralisasi (tugas &amp; wewenang) ke tingkat yang lebih rendah (disertai prinsip transparansi &amp; partisipasi)</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Perda 14 tahun 2008</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terkait dengan desentralisasi tugas dan wewenang Pemda Kab. Waringin Barat telah mengluarkan 14 tahun 2008 tentang URUSAN PEMERINTAHAN DAERAH YANG MENJADI</w:t>
            </w:r>
            <w:r w:rsidRPr="00E06424">
              <w:rPr>
                <w:rFonts w:ascii="Times New Roman" w:eastAsia="Times New Roman" w:hAnsi="Times New Roman" w:cs="Times New Roman"/>
                <w:color w:val="000000"/>
                <w:lang w:eastAsia="id-ID"/>
              </w:rPr>
              <w:br/>
              <w:t>KEWENANGAN KABUPATEN KOTAWARINGIN BARAT, dalam dalam pasal 3, disebutkan diantara urusan yang menjadi kewenangan pemerintah daerah KOBAR adalah (1) penataan ruang dan (2) kehutanan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2</w:t>
            </w:r>
          </w:p>
        </w:tc>
      </w:tr>
      <w:tr w:rsidR="00E06424" w:rsidRPr="00E06424" w:rsidTr="00E06424">
        <w:trPr>
          <w:trHeight w:val="300"/>
        </w:trPr>
        <w:tc>
          <w:tcPr>
            <w:tcW w:w="850"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90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xml:space="preserve">: b. Keberadaan dan komprehensiveness aturan yang mengatur harmonisasi hukum dan kebijakan terkait dengan hutan dan lahan gambut </w:t>
            </w:r>
          </w:p>
        </w:tc>
      </w:tr>
      <w:tr w:rsidR="00E06424" w:rsidRPr="00E06424" w:rsidTr="00E06424">
        <w:trPr>
          <w:trHeight w:val="39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7667" w:type="dxa"/>
            <w:gridSpan w:val="3"/>
            <w:tcBorders>
              <w:top w:val="nil"/>
              <w:left w:val="nil"/>
              <w:bottom w:val="single" w:sz="4" w:space="0" w:color="auto"/>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:(permenkum-ham) Cek dibiro hukum prov/kab</w:t>
            </w:r>
            <w:r w:rsidRPr="00E06424">
              <w:rPr>
                <w:rFonts w:ascii="Times New Roman" w:eastAsia="Times New Roman" w:hAnsi="Times New Roman" w:cs="Times New Roman"/>
                <w:b/>
                <w:bCs/>
                <w:color w:val="000000"/>
                <w:lang w:eastAsia="id-ID"/>
              </w:rPr>
              <w:br/>
            </w:r>
          </w:p>
        </w:tc>
      </w:tr>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745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lastRenderedPageBreak/>
              <w:t>AIIIb1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Kejelasan lembaga yang bertanggung jawab</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tersedia dokumen yang menjelaskan dapat menjawab item pertanyaan atas indikator terkait. Dalam PERATURAN DAERAH KABUPATEN KOTAWARINGIN BARAT</w:t>
            </w:r>
            <w:r w:rsidRPr="00E06424">
              <w:rPr>
                <w:rFonts w:ascii="Times New Roman" w:eastAsia="Times New Roman" w:hAnsi="Times New Roman" w:cs="Times New Roman"/>
                <w:color w:val="000000"/>
                <w:lang w:eastAsia="id-ID"/>
              </w:rPr>
              <w:br/>
              <w:t>NOMOR 13 TAHUN 2008</w:t>
            </w:r>
            <w:r w:rsidRPr="00E06424">
              <w:rPr>
                <w:rFonts w:ascii="Times New Roman" w:eastAsia="Times New Roman" w:hAnsi="Times New Roman" w:cs="Times New Roman"/>
                <w:color w:val="000000"/>
                <w:lang w:eastAsia="id-ID"/>
              </w:rPr>
              <w:br/>
              <w:t>TENTANG</w:t>
            </w:r>
            <w:r w:rsidRPr="00E06424">
              <w:rPr>
                <w:rFonts w:ascii="Times New Roman" w:eastAsia="Times New Roman" w:hAnsi="Times New Roman" w:cs="Times New Roman"/>
                <w:color w:val="000000"/>
                <w:lang w:eastAsia="id-ID"/>
              </w:rPr>
              <w:br/>
              <w:t>KELEMBAGAAN, STRUKTUR ORGANISASI, TUGAS POKOK,</w:t>
            </w:r>
            <w:r w:rsidRPr="00E06424">
              <w:rPr>
                <w:rFonts w:ascii="Times New Roman" w:eastAsia="Times New Roman" w:hAnsi="Times New Roman" w:cs="Times New Roman"/>
                <w:color w:val="000000"/>
                <w:lang w:eastAsia="id-ID"/>
              </w:rPr>
              <w:br/>
              <w:t>FUNGSI DAN TATA KERJA DINAS PENGELOLAAN KEUANGAN</w:t>
            </w:r>
            <w:r w:rsidRPr="00E06424">
              <w:rPr>
                <w:rFonts w:ascii="Times New Roman" w:eastAsia="Times New Roman" w:hAnsi="Times New Roman" w:cs="Times New Roman"/>
                <w:color w:val="000000"/>
                <w:lang w:eastAsia="id-ID"/>
              </w:rPr>
              <w:br/>
              <w:t>DAERAH KABUPATEN KOTAWARINGIN BARAT dan PERATURAN DAERAH KABUPATEN KOTAWARINGIN BARAT</w:t>
            </w:r>
            <w:r w:rsidRPr="00E06424">
              <w:rPr>
                <w:rFonts w:ascii="Times New Roman" w:eastAsia="Times New Roman" w:hAnsi="Times New Roman" w:cs="Times New Roman"/>
                <w:color w:val="000000"/>
                <w:lang w:eastAsia="id-ID"/>
              </w:rPr>
              <w:br/>
              <w:t>NOMOR 18 TAHUN 2008</w:t>
            </w:r>
            <w:r w:rsidRPr="00E06424">
              <w:rPr>
                <w:rFonts w:ascii="Times New Roman" w:eastAsia="Times New Roman" w:hAnsi="Times New Roman" w:cs="Times New Roman"/>
                <w:color w:val="000000"/>
                <w:lang w:eastAsia="id-ID"/>
              </w:rPr>
              <w:br/>
              <w:t>TENTANG</w:t>
            </w:r>
            <w:r w:rsidRPr="00E06424">
              <w:rPr>
                <w:rFonts w:ascii="Times New Roman" w:eastAsia="Times New Roman" w:hAnsi="Times New Roman" w:cs="Times New Roman"/>
                <w:color w:val="000000"/>
                <w:lang w:eastAsia="id-ID"/>
              </w:rPr>
              <w:br/>
              <w:t>ORGANISASI DAN TATA KERJA DINAS DAERAH</w:t>
            </w:r>
            <w:r w:rsidRPr="00E06424">
              <w:rPr>
                <w:rFonts w:ascii="Times New Roman" w:eastAsia="Times New Roman" w:hAnsi="Times New Roman" w:cs="Times New Roman"/>
                <w:color w:val="000000"/>
                <w:lang w:eastAsia="id-ID"/>
              </w:rPr>
              <w:br/>
              <w:t>KABUPATEN KOTAWARINGIN BARAT tidak ditemukan penjelasan mengenai lembaga yang bertanggungjawab atas harmonisasi hukum dan kebijakan terkait dengan hutan dan lahan gambut. Dalam Perbup No 22 tahun 2009 tentang Tupoksi Dinas Kehutanan hanya memiliki fungsi memberikan rumusan teknis atas pengelolaan hutan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6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AIIIb2</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Mekanisme harmonisasi aturan sebelum diundangkan</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
        </w:trPr>
        <w:tc>
          <w:tcPr>
            <w:tcW w:w="850"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90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xml:space="preserve">: c. Keberadaan dan komprehensiveness aturan yang mengatur pertimbangan integritas dan keahlian dalam posisi strategis di institusi yang bertanggungjawab terhadap kehutanan dan lahan gambut </w:t>
            </w:r>
          </w:p>
        </w:tc>
      </w:tr>
      <w:tr w:rsidR="00E06424" w:rsidRPr="00E06424" w:rsidTr="00E06424">
        <w:trPr>
          <w:trHeight w:val="39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7667" w:type="dxa"/>
            <w:gridSpan w:val="3"/>
            <w:tcBorders>
              <w:top w:val="nil"/>
              <w:left w:val="nil"/>
              <w:bottom w:val="single" w:sz="4" w:space="0" w:color="auto"/>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permenpan/SK Gub/Bup/Inpres 5/2004</w:t>
            </w:r>
            <w:r w:rsidRPr="00E06424">
              <w:rPr>
                <w:rFonts w:ascii="Times New Roman" w:eastAsia="Times New Roman" w:hAnsi="Times New Roman" w:cs="Times New Roman"/>
                <w:b/>
                <w:bCs/>
                <w:color w:val="000000"/>
                <w:lang w:eastAsia="id-ID"/>
              </w:rPr>
              <w:br/>
            </w:r>
          </w:p>
        </w:tc>
      </w:tr>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6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AIIIc1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Keterbukaan proses pengisian posisi strategis</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9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AIIIc2</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Penilaian pihak ketiga (independen) dalam proses pemilihan SDM</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9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AIIIc3</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 xml:space="preserve">Life style checking dan kewajaran harta dengan bantuan PPATK </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Inpres 5 Tahun 2004</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Secara umum, mengacu kepada Inpres 5 tahun 2004 tentang percepatan pemberantasan korupsi diktum ke 7</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2</w:t>
            </w:r>
          </w:p>
        </w:tc>
      </w:tr>
      <w:tr w:rsidR="00E06424" w:rsidRPr="00E06424" w:rsidTr="00E06424">
        <w:trPr>
          <w:trHeight w:val="9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AIIIc4</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Kewajiban verifikasi LHKPN dengan bantuan KPK</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Inpres 5 Tahun 2004</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mengacu kepada Inpres 5 tahun 2004 tentang percepatan pemberantasan korupsi diktum ke1 dan 2</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2</w:t>
            </w:r>
          </w:p>
        </w:tc>
      </w:tr>
      <w:tr w:rsidR="00E06424" w:rsidRPr="00E06424" w:rsidTr="00E06424">
        <w:trPr>
          <w:trHeight w:val="9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lastRenderedPageBreak/>
              <w:t>AIIIc5</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Batasan Conflict of Interest &amp; mekanisme yang harus dilakukan</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9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AIIIc6</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Pembuatan pakta integritas, pemenuhan kode etik dan kontrak kinerja</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Inpres 5 Tahun 2004</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mengacu kepada Inpres 5 tahun 2004 tentang percepatan pemberantasan korupsi diktum ke 3</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2</w:t>
            </w:r>
          </w:p>
        </w:tc>
      </w:tr>
      <w:tr w:rsidR="00E06424" w:rsidRPr="00E06424" w:rsidTr="00E06424">
        <w:trPr>
          <w:trHeight w:val="300"/>
        </w:trPr>
        <w:tc>
          <w:tcPr>
            <w:tcW w:w="850"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90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d. Keberadaan dan komprehensiveness aturan yang mengatur pelaksanaan penegakan hukum dalam pengelolaan hutan dan lahan gambut di tingkat Nasional/Propinsi/Kab secara efektif dan efisien serta tidak rentan korupsi</w:t>
            </w:r>
          </w:p>
        </w:tc>
      </w:tr>
      <w:tr w:rsidR="00E06424" w:rsidRPr="00E06424" w:rsidTr="00E06424">
        <w:trPr>
          <w:trHeight w:val="63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7667" w:type="dxa"/>
            <w:gridSpan w:val="3"/>
            <w:tcBorders>
              <w:top w:val="nil"/>
              <w:left w:val="nil"/>
              <w:bottom w:val="single" w:sz="4" w:space="0" w:color="auto"/>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terkait dengan aturan lain, SK kemenhut/ kejaksaan/Kehakiman/KPK/PPATK, Kemenkeu</w:t>
            </w:r>
            <w:r w:rsidRPr="00E06424">
              <w:rPr>
                <w:rFonts w:ascii="Times New Roman" w:eastAsia="Times New Roman" w:hAnsi="Times New Roman" w:cs="Times New Roman"/>
                <w:b/>
                <w:bCs/>
                <w:color w:val="000000"/>
                <w:lang w:eastAsia="id-ID"/>
              </w:rPr>
              <w:br/>
            </w:r>
          </w:p>
        </w:tc>
      </w:tr>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9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AIIId1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Pembenahan case manage-ment sehingga menutup celah-celah abuse of power</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9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AIIId2</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Sistem pengawasan dan pen-disiplinan internal di lembaga penegak hukum</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6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AIIId3</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Peningkatan kapasitas aparat penegak hukum terkait isu-isu pengelolaan hutan dan lahan gambut secara lestari, kebijak-an Negara atas masyarakat adat, serta pemanfaatan instru-ment hukum lain seperti pajak, korupsi, dan anti pencucian uang untuk memberantas kejahatan kehutanan (multi-door approach);</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8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AIIId4</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Kewajiban koordinasi yang efektif antara aparat penegak hukum terkait dalam isu hutan dan lahan gambut dan penun-jukan leading sector yang jelas</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21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AIIId5</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Pemenuhan rasio jumlah penegak hukum di bidang kehutanan dan lahan gambut</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tersedia dokumen yang menjelas menekankan aspek pemenuhan jumlah rasio penegak hukum dibidang kehutanan dan lahan gambut, namun dalam laporan tahunan dinas kehutanan 2011 disebutkan bahwa hingga tahun 2011 terdapat tenaga pengaman hutan (POLHUT) sebanyak 34 orang.</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2</w:t>
            </w:r>
          </w:p>
        </w:tc>
      </w:tr>
      <w:tr w:rsidR="00E06424" w:rsidRPr="00E06424" w:rsidTr="00E06424">
        <w:trPr>
          <w:trHeight w:val="9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lastRenderedPageBreak/>
              <w:t>AIIId6</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Mekanisme insentif dan disinsentif untuk mencapai penaatan</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
        </w:trPr>
        <w:tc>
          <w:tcPr>
            <w:tcW w:w="850"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33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Isu dalam PGA REDD+</w:t>
            </w:r>
          </w:p>
        </w:tc>
        <w:tc>
          <w:tcPr>
            <w:tcW w:w="599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IV. Pengelolaan Hutan</w:t>
            </w: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p>
        </w:tc>
      </w:tr>
      <w:tr w:rsidR="00E06424" w:rsidRPr="00E06424" w:rsidTr="00E06424">
        <w:trPr>
          <w:trHeight w:val="90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xml:space="preserve">: a. Keberadaan dan komprehensiveness aturan yang mengatur kewajiban penyusunan rencana pengelolaan hutan secara berkeadilan dan obyektif </w:t>
            </w:r>
          </w:p>
        </w:tc>
      </w:tr>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15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AIVa1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Kejelasan tugas &amp; wewenang pengelolaan hutan &amp; lahan gambut</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dokumen terkait yang menjawab pertanyaan/indikator instrumen, yang ada hanyalah penjelasan mengenai tugas dan wewenang pengelolaan hutan oleh Dinas Kehutanan berdasarkan Perbup 22/2009</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
        </w:trPr>
        <w:tc>
          <w:tcPr>
            <w:tcW w:w="850"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90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b. Keberadaan dan komprehensiveness aturan yang mengatur transparansi pengelolaan hutan dan lahan gambut</w:t>
            </w:r>
          </w:p>
        </w:tc>
      </w:tr>
      <w:tr w:rsidR="00E06424" w:rsidRPr="00E06424" w:rsidTr="00E06424">
        <w:trPr>
          <w:trHeight w:val="39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7667" w:type="dxa"/>
            <w:gridSpan w:val="3"/>
            <w:tcBorders>
              <w:top w:val="nil"/>
              <w:left w:val="nil"/>
              <w:bottom w:val="single" w:sz="4" w:space="0" w:color="auto"/>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SK Menhut/pertanian/ SK/perda-Gub/Bup</w:t>
            </w:r>
          </w:p>
        </w:tc>
      </w:tr>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18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AIVb1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Kewajiban menyediakan seluruh informasi dalam kaitannya dengan pengelolaan hutan secara sistematis sehingga mudah diakses</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2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AIVb2</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Mewajibkan agar Badan Publik memiliki petugas khusus yang menangani permintaan informasi</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2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AIVb3</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Kewajiban pemberian akses bagi publik baik secara proaktif maupun berdasarkan permintaan</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5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AIVb4</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Terdapat pengumuman informasi tentang rencana kegiatan/proyek yang disertai dengan dokumen pendukungnya</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5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AIVb5</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Batasan atas informasi yg dapat diakses diatur dengan jelas dan didasarkan pada kepentingan publik (balancing public interest test)</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9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lastRenderedPageBreak/>
              <w:t>AIVb6</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Sanksi bagi pihak-pihak yang sengaja menghambat akses publik atas informasi</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
        </w:trPr>
        <w:tc>
          <w:tcPr>
            <w:tcW w:w="850"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90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xml:space="preserve">: c. Keberadaan dan komprehensiveness aturan yang mengatur keterlibatan pemangku kepentingan dalam pengelolaan hutan dan lahan gambut yang  berarti </w:t>
            </w:r>
          </w:p>
        </w:tc>
      </w:tr>
      <w:tr w:rsidR="00E06424" w:rsidRPr="00E06424" w:rsidTr="00E06424">
        <w:trPr>
          <w:trHeight w:val="39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7667" w:type="dxa"/>
            <w:gridSpan w:val="3"/>
            <w:tcBorders>
              <w:top w:val="nil"/>
              <w:left w:val="nil"/>
              <w:bottom w:val="single" w:sz="4" w:space="0" w:color="auto"/>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SK Menhut/Pertanian, SK/Perda-Gub/Bup</w:t>
            </w:r>
          </w:p>
        </w:tc>
      </w:tr>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36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AIVc1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Informasi rencana pemberian izin/pelaksanaan lelang kepada seluruh pihak yg memiliki hak serta pihak yg berkepentingan</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 xml:space="preserve">Informasi pemberian rancana/izin lelang di Kabupaten KOBAR mengacu kepada UNDANG-UNDANG REPUBLIK INDONESIA NOMOR 14 TAHUN 2008 TENTANG KETERBUKAAN INFORMASI PUBLIK dan </w:t>
            </w:r>
            <w:r w:rsidRPr="00E06424">
              <w:rPr>
                <w:rFonts w:ascii="Times New Roman" w:eastAsia="Times New Roman" w:hAnsi="Times New Roman" w:cs="Times New Roman"/>
                <w:color w:val="000000"/>
                <w:lang w:eastAsia="id-ID"/>
              </w:rPr>
              <w:br/>
              <w:t>PENJELASAN ATAS PERATURAN PRESIDEN REPUBLIK INDONESIA NOMOR 54 TAHUN 2010 TENTANG PENGADAAN BARANG/JASA PEMERINTAH</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2</w:t>
            </w:r>
          </w:p>
        </w:tc>
      </w:tr>
      <w:tr w:rsidR="00E06424" w:rsidRPr="00E06424" w:rsidTr="00E06424">
        <w:trPr>
          <w:trHeight w:val="18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AIVc2</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Mekanisme yang memudahkan bagi seluruh pihak yang berkepentingan untuk dapat terlibat dalam proses pengambilan keputusan</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8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AIVc3</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Penunjukan satu petugas khusus yang bertanggungjawab mengelola masukan publik dalam proses pemberian izin/pelaksanaan lelang</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9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AIVc4</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Dokumentasi setiap masukan baik yang tertulis ataupun tidak</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9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AIVc5</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Pemberian respon yang bersifat terbuka atas setiap masukan yang ada</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6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AIVc6</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Pemberian penjelasan atas keputusan akhir yang diambil</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
        </w:trPr>
        <w:tc>
          <w:tcPr>
            <w:tcW w:w="850"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90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d. Keberadaan dan komprehensiveness aturan yang mengatur mekanisme pemberian izin pengelolaan hutan yang efisien</w:t>
            </w:r>
          </w:p>
        </w:tc>
      </w:tr>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3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lastRenderedPageBreak/>
              <w:t>AIVd1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 </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 </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 </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 </w:t>
            </w:r>
          </w:p>
        </w:tc>
      </w:tr>
      <w:tr w:rsidR="00E06424" w:rsidRPr="00E06424" w:rsidTr="00E06424">
        <w:trPr>
          <w:trHeight w:val="3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AIVd2</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 </w:t>
            </w:r>
          </w:p>
        </w:tc>
        <w:tc>
          <w:tcPr>
            <w:tcW w:w="17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 </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 </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 </w:t>
            </w:r>
          </w:p>
        </w:tc>
      </w:tr>
      <w:tr w:rsidR="00E06424" w:rsidRPr="00E06424" w:rsidTr="00E06424">
        <w:trPr>
          <w:trHeight w:val="300"/>
        </w:trPr>
        <w:tc>
          <w:tcPr>
            <w:tcW w:w="850"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69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e. Keberadaan dan komprehensiveness aturan yang mengatur mekanisme penanganan pengaduan dalam konflik pengelolaan hutan dan lahan gambu</w:t>
            </w:r>
          </w:p>
        </w:tc>
      </w:tr>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12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AIVe1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Mekanisme pengaduan (sederhana, kejelasan tenggat waktu &amp; tindakan yang telah diambil)</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6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AIVe2</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Mekanisme resolusi konflik dan penyelesaian sengketa</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9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AIVe3</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Mediator memiliki keahlian dan pemahaman tentang isu-isu adat/masyarakat lokal</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5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AIVe4</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Mekanisme pengawasan eksternal atas kinerja penegak hukum dalam menindaklanjuti pengaduan masyarakat</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
        </w:trPr>
        <w:tc>
          <w:tcPr>
            <w:tcW w:w="850"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33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Isu dalam PGA REDD+</w:t>
            </w:r>
          </w:p>
        </w:tc>
        <w:tc>
          <w:tcPr>
            <w:tcW w:w="599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V. Pengorganisasian Hutan</w:t>
            </w: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p>
        </w:tc>
      </w:tr>
      <w:tr w:rsidR="00E06424" w:rsidRPr="00E06424" w:rsidTr="00E06424">
        <w:trPr>
          <w:trHeight w:val="69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a. Keberadaan dan komprehensiveness aturan yang mengatur transparansi pengendalian dan penegakan hukum dalam pengelolaan hutan</w:t>
            </w:r>
          </w:p>
        </w:tc>
      </w:tr>
      <w:tr w:rsidR="00E06424" w:rsidRPr="00E06424" w:rsidTr="00E06424">
        <w:trPr>
          <w:trHeight w:val="39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7667" w:type="dxa"/>
            <w:gridSpan w:val="3"/>
            <w:tcBorders>
              <w:top w:val="nil"/>
              <w:left w:val="nil"/>
              <w:bottom w:val="single" w:sz="4" w:space="0" w:color="auto"/>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SK Menhut/Gub/Bu</w:t>
            </w:r>
            <w:r w:rsidRPr="00E06424">
              <w:rPr>
                <w:rFonts w:ascii="Times New Roman" w:eastAsia="Times New Roman" w:hAnsi="Times New Roman" w:cs="Times New Roman"/>
                <w:b/>
                <w:bCs/>
                <w:color w:val="000000"/>
                <w:lang w:eastAsia="id-ID"/>
              </w:rPr>
              <w:br/>
            </w:r>
          </w:p>
        </w:tc>
      </w:tr>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15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AVa1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Ketersediaan seluruh informasi secara sistematis dalam kaitannya dengan pengawasan internal dan eksternal</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8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AVa2</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Terdapat aturan yang mewajibkan pemberian akses bagi publik baik secara proaktif maupun berdasarkan permintaan dalam tahap pengawasan</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5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AVa3</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Batasan atas informasi yg dapat diakses diatur dengan jelas dan didasarkan pada kepentingan publik (balancing public interest test)</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2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lastRenderedPageBreak/>
              <w:t>AVa4</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Terdapat sanksi bagi pihak-pihak yg sengaja menghambat akses publik atas informasi</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
        </w:trPr>
        <w:tc>
          <w:tcPr>
            <w:tcW w:w="850"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69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b. Keberadaan dan komprehensiveness aturan yang mengatur pengawasan yang berintegritas dan partisipatif dalam pengelolaan hutan</w:t>
            </w:r>
          </w:p>
        </w:tc>
      </w:tr>
      <w:tr w:rsidR="00E06424" w:rsidRPr="00E06424" w:rsidTr="00E06424">
        <w:trPr>
          <w:trHeight w:val="39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7667" w:type="dxa"/>
            <w:gridSpan w:val="3"/>
            <w:tcBorders>
              <w:top w:val="nil"/>
              <w:left w:val="nil"/>
              <w:bottom w:val="single" w:sz="4" w:space="0" w:color="auto"/>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Per/SK menhut/Gub/Bup</w:t>
            </w:r>
          </w:p>
        </w:tc>
      </w:tr>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12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AVb1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Informasi pelaksanaan kegiatan untuk memperjelas masukan publik atas suatu kasus</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5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AVb2</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Mekanisme penerimaan pengaduan memudahkan bagi seluruh pihak (termasuk competitors) untuk menyampaikan pengaduan</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9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AVb3</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Dokumentasi setiap laporan pengaduan baik yang tertulis ataupun tidak</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2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AVb4</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Mekanisme penerimaan pengaduan memiliki jangka waktu yang jelas atas respon yang akan diberikan</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2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AVb5</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 xml:space="preserve">Mekanisme penerimaan pengaduan menawarkan kemudahan dan kejelasan pihak yang dikontak </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5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AVb6</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Penunjukan satu petugas khusus yang bertanggungjawab mengelola masukan publik dalam proses pengawasan</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
        </w:trPr>
        <w:tc>
          <w:tcPr>
            <w:tcW w:w="850"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69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xml:space="preserve">: c. Keberadaan dan komprehensiveness aturan yang mengatur program peningkatan kapasitas masyarakat dalam pengawasan pengelolaan hutan dan lahan gambut  </w:t>
            </w:r>
            <w:r w:rsidRPr="00E06424">
              <w:rPr>
                <w:rFonts w:ascii="Times New Roman" w:eastAsia="Times New Roman" w:hAnsi="Times New Roman" w:cs="Times New Roman"/>
                <w:b/>
                <w:bCs/>
                <w:color w:val="000000"/>
                <w:lang w:eastAsia="id-ID"/>
              </w:rPr>
              <w:br/>
            </w:r>
            <w:r w:rsidRPr="00E06424">
              <w:rPr>
                <w:rFonts w:ascii="Times New Roman" w:eastAsia="Times New Roman" w:hAnsi="Times New Roman" w:cs="Times New Roman"/>
                <w:b/>
                <w:bCs/>
                <w:color w:val="000000"/>
                <w:lang w:eastAsia="id-ID"/>
              </w:rPr>
              <w:br/>
            </w:r>
          </w:p>
        </w:tc>
      </w:tr>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18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lastRenderedPageBreak/>
              <w:t>AVc1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Program pemerintah daerah dalam meningkatkan kapasitas masyarakat adat/lokal untuk turut berpartisipasi dalam proses pengawasan</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 xml:space="preserve">tidak dapati dokumen yang menjelaskan aturan yang dimaksud dalam item pertanyaan. Namun dalam </w:t>
            </w:r>
            <w:r w:rsidRPr="00E06424">
              <w:rPr>
                <w:rFonts w:ascii="Times New Roman" w:eastAsia="Times New Roman" w:hAnsi="Times New Roman" w:cs="Times New Roman"/>
                <w:b/>
                <w:bCs/>
                <w:color w:val="000000"/>
                <w:lang w:eastAsia="id-ID"/>
              </w:rPr>
              <w:t>laporan tahunan Dinas Kehutanan Kab. Kobar 2011</w:t>
            </w:r>
            <w:r w:rsidRPr="00E06424">
              <w:rPr>
                <w:rFonts w:ascii="Times New Roman" w:eastAsia="Times New Roman" w:hAnsi="Times New Roman" w:cs="Times New Roman"/>
                <w:color w:val="000000"/>
                <w:lang w:eastAsia="id-ID"/>
              </w:rPr>
              <w:t xml:space="preserve"> terdapat program peningkatan peran serta masyarakat dalam rehabilitas hutan.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5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AVc2</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Program pemerintahan yang lebih tinggi untuk meningkat-kan kapasitas pemerintahan yang lebih rendah dalam melakukan pengawasan</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
        </w:trPr>
        <w:tc>
          <w:tcPr>
            <w:tcW w:w="850"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69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d. Keberadaan dan komprehensiveness aturan yang mengatur mekanisme penindaklanjutan temuan penyelewengan/indikasi korupsi yang responsif</w:t>
            </w:r>
            <w:r w:rsidRPr="00E06424">
              <w:rPr>
                <w:rFonts w:ascii="Times New Roman" w:eastAsia="Times New Roman" w:hAnsi="Times New Roman" w:cs="Times New Roman"/>
                <w:b/>
                <w:bCs/>
                <w:color w:val="000000"/>
                <w:lang w:eastAsia="id-ID"/>
              </w:rPr>
              <w:br/>
            </w:r>
            <w:r w:rsidRPr="00E06424">
              <w:rPr>
                <w:rFonts w:ascii="Times New Roman" w:eastAsia="Times New Roman" w:hAnsi="Times New Roman" w:cs="Times New Roman"/>
                <w:b/>
                <w:bCs/>
                <w:color w:val="000000"/>
                <w:lang w:eastAsia="id-ID"/>
              </w:rPr>
              <w:br/>
            </w:r>
            <w:r w:rsidRPr="00E06424">
              <w:rPr>
                <w:rFonts w:ascii="Times New Roman" w:eastAsia="Times New Roman" w:hAnsi="Times New Roman" w:cs="Times New Roman"/>
                <w:b/>
                <w:bCs/>
                <w:color w:val="000000"/>
                <w:lang w:eastAsia="id-ID"/>
              </w:rPr>
              <w:br/>
            </w:r>
          </w:p>
        </w:tc>
      </w:tr>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9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AVd1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Pelaksanaan perbaikan sistem secara partisipatif dari rekomendasi BPK dan KPK</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
        </w:trPr>
        <w:tc>
          <w:tcPr>
            <w:tcW w:w="850"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69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e. Keberadaan dan komprehensiveness aturan yang mengatur mekanisme multi door approach dalam penyelesaian kasus-kasus kejahatan kehutanan</w:t>
            </w:r>
            <w:r w:rsidRPr="00E06424">
              <w:rPr>
                <w:rFonts w:ascii="Times New Roman" w:eastAsia="Times New Roman" w:hAnsi="Times New Roman" w:cs="Times New Roman"/>
                <w:b/>
                <w:bCs/>
                <w:color w:val="000000"/>
                <w:lang w:eastAsia="id-ID"/>
              </w:rPr>
              <w:br/>
            </w:r>
            <w:r w:rsidRPr="00E06424">
              <w:rPr>
                <w:rFonts w:ascii="Times New Roman" w:eastAsia="Times New Roman" w:hAnsi="Times New Roman" w:cs="Times New Roman"/>
                <w:b/>
                <w:bCs/>
                <w:color w:val="000000"/>
                <w:lang w:eastAsia="id-ID"/>
              </w:rPr>
              <w:br/>
            </w:r>
            <w:r w:rsidRPr="00E06424">
              <w:rPr>
                <w:rFonts w:ascii="Times New Roman" w:eastAsia="Times New Roman" w:hAnsi="Times New Roman" w:cs="Times New Roman"/>
                <w:b/>
                <w:bCs/>
                <w:color w:val="000000"/>
                <w:lang w:eastAsia="id-ID"/>
              </w:rPr>
              <w:br/>
            </w:r>
            <w:r w:rsidRPr="00E06424">
              <w:rPr>
                <w:rFonts w:ascii="Times New Roman" w:eastAsia="Times New Roman" w:hAnsi="Times New Roman" w:cs="Times New Roman"/>
                <w:b/>
                <w:bCs/>
                <w:color w:val="000000"/>
                <w:lang w:eastAsia="id-ID"/>
              </w:rPr>
              <w:br/>
            </w:r>
          </w:p>
        </w:tc>
      </w:tr>
      <w:tr w:rsidR="00E06424" w:rsidRPr="00E06424" w:rsidTr="00E06424">
        <w:trPr>
          <w:trHeight w:val="39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7667" w:type="dxa"/>
            <w:gridSpan w:val="3"/>
            <w:tcBorders>
              <w:top w:val="nil"/>
              <w:left w:val="nil"/>
              <w:bottom w:val="single" w:sz="4" w:space="0" w:color="auto"/>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aturan KLH-kehutanan (satgas illegal loging)</w:t>
            </w:r>
          </w:p>
        </w:tc>
      </w:tr>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18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AVe1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Pendekatan multi-door ap-proach antara lain terdiri dari pendekatan pidana korupsi, anti money laundering, pidana pajak, dan pidana lingkungan hidup</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
        </w:trPr>
        <w:tc>
          <w:tcPr>
            <w:tcW w:w="850"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33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Isu dalam PGA REDD+</w:t>
            </w:r>
          </w:p>
        </w:tc>
        <w:tc>
          <w:tcPr>
            <w:tcW w:w="599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IV. Infrastruktur REDD+</w:t>
            </w: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p>
        </w:tc>
      </w:tr>
      <w:tr w:rsidR="00E06424" w:rsidRPr="00E06424" w:rsidTr="00E06424">
        <w:trPr>
          <w:trHeight w:val="765"/>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a. Keberadaan dan komprehensiveness aturan yang mengatur transparansi dalam pengembangan kebijakan dan kelembagaan REDD+</w:t>
            </w:r>
          </w:p>
        </w:tc>
      </w:tr>
      <w:tr w:rsidR="00E06424" w:rsidRPr="00E06424" w:rsidTr="00E06424">
        <w:trPr>
          <w:trHeight w:val="39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7667" w:type="dxa"/>
            <w:gridSpan w:val="3"/>
            <w:tcBorders>
              <w:top w:val="nil"/>
              <w:left w:val="nil"/>
              <w:bottom w:val="single" w:sz="4" w:space="0" w:color="auto"/>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(UKP4, Permenhut, Perda/SK Gub/Bup)</w:t>
            </w:r>
            <w:r w:rsidRPr="00E06424">
              <w:rPr>
                <w:rFonts w:ascii="Times New Roman" w:eastAsia="Times New Roman" w:hAnsi="Times New Roman" w:cs="Times New Roman"/>
                <w:b/>
                <w:bCs/>
                <w:color w:val="000000"/>
                <w:lang w:eastAsia="id-ID"/>
              </w:rPr>
              <w:br/>
            </w:r>
          </w:p>
        </w:tc>
      </w:tr>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15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lastRenderedPageBreak/>
              <w:t>AVIa1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Ketersediaan seluruh informasi dalam kaitannya dengan proses pembentukan infrastruktur, pelaksanaan dan pengawasan REDD+</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2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AVIa2</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Kewajiban agar Badan Publik memiliki petugas khusus yang menangani permintaan informasi publik</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9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AVIa3</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Pemberian akses bagi publik baik secara proaktif maupun berdasarkan permintaan</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5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AVIa4</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Batasan atas informasi yg dapat diakses diatur dengan jelas dan didasarkan pada kepentingan publik (balancing public interest test)</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9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AVIa5</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Sanksi bagi pihak-pihak yang sengaja menghambat akses publik atas informasi</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
        </w:trPr>
        <w:tc>
          <w:tcPr>
            <w:tcW w:w="850"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765"/>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b. Keberadaan dan komprehensiveness aturan yang mengatur penyusunan kebijakan dan kelembagaan REDD+ yang obyektif dan transparan</w:t>
            </w:r>
          </w:p>
        </w:tc>
      </w:tr>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18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AVIb1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Penyampaian informasi atas rencana pembentukan peraturan/kebijakan terkait REDD+ kepada seluruh pihak yg memiliki hak serta pihak yg berkepentingan</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8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AVIb2</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Mekanisme yang memudahkan bagi seluruh pihak yang berkepentingan untuk dapat terlibat dalam proses pengambilan keputusan</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8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AVIb3</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Penunjukan satu petugas khusus yang bertanggungjawab mengelola masukan publik dalam proses pembentukan kebijakan terkait REDD+;</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9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lastRenderedPageBreak/>
              <w:t>AVIb4</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Dokumentasi setiap masukan baik yang tertulis ataupun tidak</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512"/>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AVIb5</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Pemberian respon yang bersifat terbuka atas setiap masukan yang ada (metode umpan balik)</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6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AVIb6</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Penjelasan atas keputusan akhir yang diambil</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2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AVIb7</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Pelaksanakan seluruh proses partisipasi dalam waktu yang cukup, (minimum 45 hari kerja)</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
        </w:trPr>
        <w:tc>
          <w:tcPr>
            <w:tcW w:w="850"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765"/>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xml:space="preserve">: c. Keberadaan dan komprehensiveness aturan yang mengatur mekanisme penanganan pengaduan masyarakat dalam proses pengembangan kebijakan dan kelembagaan REDD+ </w:t>
            </w:r>
          </w:p>
        </w:tc>
      </w:tr>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30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AVIc1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Mekanisme pengaduan masyarakat yang memudahkan bagi seluruh pihak (termasuk competitors) untuk menyampaikan pengaduan dan mendapatkan kejelasan tindakan yang telah diambil atas pengaduan yang disampaikan dalam jangka waktu yang jelas</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8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AVIc2</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Mekanisme resolusi konflik dan penyelesaian sengketa melalui jalur perundingan apabila terdapat perbedaan pandangan yg tajam atas suatu hal</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9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AVIc3</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Jasa mediator yang memiliki keahlian dan pemahaman tentang isu-isu adat</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
        </w:trPr>
        <w:tc>
          <w:tcPr>
            <w:tcW w:w="850"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93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xml:space="preserve">: d. Keberadaan dan komprehensiveness aturan yang mengatur program peningkatan kapasitas aparat pemerintah dan masyarakat dalam penyiapan pengembangan kebijakan dan kelembagaan REDD+  </w:t>
            </w:r>
            <w:r w:rsidRPr="00E06424">
              <w:rPr>
                <w:rFonts w:ascii="Times New Roman" w:eastAsia="Times New Roman" w:hAnsi="Times New Roman" w:cs="Times New Roman"/>
                <w:b/>
                <w:bCs/>
                <w:color w:val="000000"/>
                <w:lang w:eastAsia="id-ID"/>
              </w:rPr>
              <w:br/>
              <w:t xml:space="preserve"> </w:t>
            </w:r>
          </w:p>
        </w:tc>
      </w:tr>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18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lastRenderedPageBreak/>
              <w:t>AVId1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Program untuk meningkatkan kapasitas masyarakat adat/lokal untuk untuk memahami REDD+ serta pilihan-pilihan kebijakan yang ada</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8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AVId2</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Program untuk peningkatan kapasitas pemerintahan yang lebih rendah untuk memahami REDD+ serta pilihan-pilihan kebijakan yang ada</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
        </w:trPr>
        <w:tc>
          <w:tcPr>
            <w:tcW w:w="850"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93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xml:space="preserve">: e. Keberadaan dan komprehensiveness aturan yang mengatur mekanisme tindak lanjut temuan penyelewengan/indikasi korupsi kegiatan REDD+ yang responsif </w:t>
            </w:r>
            <w:r w:rsidRPr="00E06424">
              <w:rPr>
                <w:rFonts w:ascii="Times New Roman" w:eastAsia="Times New Roman" w:hAnsi="Times New Roman" w:cs="Times New Roman"/>
                <w:b/>
                <w:bCs/>
                <w:color w:val="000000"/>
                <w:lang w:eastAsia="id-ID"/>
              </w:rPr>
              <w:br/>
              <w:t xml:space="preserve"> </w:t>
            </w:r>
            <w:r w:rsidRPr="00E06424">
              <w:rPr>
                <w:rFonts w:ascii="Times New Roman" w:eastAsia="Times New Roman" w:hAnsi="Times New Roman" w:cs="Times New Roman"/>
                <w:b/>
                <w:bCs/>
                <w:color w:val="000000"/>
                <w:lang w:eastAsia="id-ID"/>
              </w:rPr>
              <w:br/>
              <w:t xml:space="preserve"> </w:t>
            </w:r>
          </w:p>
        </w:tc>
      </w:tr>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12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AVIe1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Pelaksanaan perbaikan sistem berdasarkan rekomendasi BPK secara partisipatif</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300"/>
        </w:trPr>
        <w:tc>
          <w:tcPr>
            <w:tcW w:w="850"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2368"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7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424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Calibri" w:eastAsia="Times New Roman" w:hAnsi="Calibri" w:cs="Times New Roman"/>
                <w:color w:val="000000"/>
                <w:lang w:eastAsia="id-ID"/>
              </w:rPr>
            </w:pPr>
          </w:p>
        </w:tc>
        <w:tc>
          <w:tcPr>
            <w:tcW w:w="1669" w:type="dxa"/>
            <w:tcBorders>
              <w:top w:val="nil"/>
              <w:left w:val="nil"/>
              <w:bottom w:val="nil"/>
              <w:right w:val="nil"/>
            </w:tcBorders>
            <w:shd w:val="clear" w:color="auto" w:fill="auto"/>
            <w:noWrap/>
            <w:vAlign w:val="center"/>
            <w:hideMark/>
          </w:tcPr>
          <w:p w:rsidR="00E06424" w:rsidRPr="00E06424" w:rsidRDefault="00E06424" w:rsidP="00E06424">
            <w:pPr>
              <w:spacing w:after="0" w:line="240" w:lineRule="auto"/>
              <w:jc w:val="center"/>
              <w:rPr>
                <w:rFonts w:ascii="Calibri" w:eastAsia="Times New Roman" w:hAnsi="Calibri" w:cs="Times New Roman"/>
                <w:color w:val="000000"/>
                <w:lang w:eastAsia="id-ID"/>
              </w:rPr>
            </w:pPr>
          </w:p>
        </w:tc>
      </w:tr>
      <w:tr w:rsidR="00E06424" w:rsidRPr="00E06424" w:rsidTr="00E06424">
        <w:trPr>
          <w:trHeight w:val="780"/>
        </w:trPr>
        <w:tc>
          <w:tcPr>
            <w:tcW w:w="3218" w:type="dxa"/>
            <w:gridSpan w:val="2"/>
            <w:tcBorders>
              <w:top w:val="nil"/>
              <w:left w:val="nil"/>
              <w:bottom w:val="nil"/>
              <w:right w:val="nil"/>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Indikator</w:t>
            </w:r>
          </w:p>
        </w:tc>
        <w:tc>
          <w:tcPr>
            <w:tcW w:w="7667" w:type="dxa"/>
            <w:gridSpan w:val="3"/>
            <w:tcBorders>
              <w:top w:val="nil"/>
              <w:left w:val="nil"/>
              <w:bottom w:val="nil"/>
              <w:right w:val="nil"/>
            </w:tcBorders>
            <w:shd w:val="clear" w:color="auto" w:fill="auto"/>
            <w:vAlign w:val="center"/>
            <w:hideMark/>
          </w:tcPr>
          <w:p w:rsidR="00E06424" w:rsidRPr="00E06424" w:rsidRDefault="00E06424" w:rsidP="00E06424">
            <w:pPr>
              <w:spacing w:after="240" w:line="240" w:lineRule="auto"/>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 f. Keberadaan dan komprehensiveness aturan yang mengatur mekanisme penanganan pengaduan dalam konflik terkait dengan kegiatan REDD+</w:t>
            </w:r>
            <w:r w:rsidRPr="00E06424">
              <w:rPr>
                <w:rFonts w:ascii="Times New Roman" w:eastAsia="Times New Roman" w:hAnsi="Times New Roman" w:cs="Times New Roman"/>
                <w:b/>
                <w:bCs/>
                <w:color w:val="000000"/>
                <w:lang w:eastAsia="id-ID"/>
              </w:rPr>
              <w:br/>
              <w:t xml:space="preserve"> </w:t>
            </w:r>
          </w:p>
        </w:tc>
      </w:tr>
      <w:tr w:rsidR="00E06424" w:rsidRPr="00E06424" w:rsidTr="00E06424">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Kode</w:t>
            </w:r>
          </w:p>
        </w:tc>
        <w:tc>
          <w:tcPr>
            <w:tcW w:w="2368"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Item Data</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Data</w:t>
            </w:r>
          </w:p>
        </w:tc>
        <w:tc>
          <w:tcPr>
            <w:tcW w:w="424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Sumber Dokumen Hukum dan Kebijakan</w:t>
            </w:r>
          </w:p>
        </w:tc>
        <w:tc>
          <w:tcPr>
            <w:tcW w:w="1669" w:type="dxa"/>
            <w:tcBorders>
              <w:top w:val="single" w:sz="4" w:space="0" w:color="auto"/>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b/>
                <w:bCs/>
                <w:color w:val="000000"/>
                <w:lang w:eastAsia="id-ID"/>
              </w:rPr>
            </w:pPr>
            <w:r w:rsidRPr="00E06424">
              <w:rPr>
                <w:rFonts w:ascii="Times New Roman" w:eastAsia="Times New Roman" w:hAnsi="Times New Roman" w:cs="Times New Roman"/>
                <w:b/>
                <w:bCs/>
                <w:color w:val="000000"/>
                <w:lang w:eastAsia="id-ID"/>
              </w:rPr>
              <w:t>Kategori Data</w:t>
            </w:r>
          </w:p>
        </w:tc>
      </w:tr>
      <w:tr w:rsidR="00E06424" w:rsidRPr="00E06424" w:rsidTr="00E06424">
        <w:trPr>
          <w:trHeight w:val="150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AVIf1</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Mekanisme pengaduan yang sederhana, memilik tenggat waktu yang jelas serta kejelasan tindakan yang telah diambil</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90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AVIf2</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Mekanisme resolusi konflik dan penyelesaian sengketa melalui jalur perundingan</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50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AVIf3</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Mewajibkan mediator yang disediakan untuk memiliki keahlian dan pemahaman tentang isu-isu adat/masyarakat lokal</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r w:rsidR="00E06424" w:rsidRPr="00E06424" w:rsidTr="00E06424">
        <w:trPr>
          <w:trHeight w:val="150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AVIf4</w:t>
            </w:r>
          </w:p>
        </w:tc>
        <w:tc>
          <w:tcPr>
            <w:tcW w:w="2368"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Mekanisme pengawasan eksternal atas kinerja penegak hukum dalam menindaklanjuti pengaduan masyarakat</w:t>
            </w:r>
          </w:p>
        </w:tc>
        <w:tc>
          <w:tcPr>
            <w:tcW w:w="1749" w:type="dxa"/>
            <w:tcBorders>
              <w:top w:val="nil"/>
              <w:left w:val="nil"/>
              <w:bottom w:val="single" w:sz="4" w:space="0" w:color="auto"/>
              <w:right w:val="single" w:sz="4" w:space="0" w:color="auto"/>
            </w:tcBorders>
            <w:shd w:val="clear" w:color="auto" w:fill="auto"/>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Dokumen terkait tidak tersedia</w:t>
            </w:r>
          </w:p>
        </w:tc>
        <w:tc>
          <w:tcPr>
            <w:tcW w:w="424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Tidak ada penjelasan</w:t>
            </w:r>
          </w:p>
        </w:tc>
        <w:tc>
          <w:tcPr>
            <w:tcW w:w="1669" w:type="dxa"/>
            <w:tcBorders>
              <w:top w:val="nil"/>
              <w:left w:val="nil"/>
              <w:bottom w:val="single" w:sz="4" w:space="0" w:color="auto"/>
              <w:right w:val="single" w:sz="4" w:space="0" w:color="auto"/>
            </w:tcBorders>
            <w:shd w:val="clear" w:color="auto" w:fill="auto"/>
            <w:noWrap/>
            <w:vAlign w:val="center"/>
            <w:hideMark/>
          </w:tcPr>
          <w:p w:rsidR="00E06424" w:rsidRPr="00E06424" w:rsidRDefault="00E06424" w:rsidP="00E06424">
            <w:pPr>
              <w:spacing w:after="0" w:line="240" w:lineRule="auto"/>
              <w:jc w:val="center"/>
              <w:rPr>
                <w:rFonts w:ascii="Times New Roman" w:eastAsia="Times New Roman" w:hAnsi="Times New Roman" w:cs="Times New Roman"/>
                <w:color w:val="000000"/>
                <w:lang w:eastAsia="id-ID"/>
              </w:rPr>
            </w:pPr>
            <w:r w:rsidRPr="00E06424">
              <w:rPr>
                <w:rFonts w:ascii="Times New Roman" w:eastAsia="Times New Roman" w:hAnsi="Times New Roman" w:cs="Times New Roman"/>
                <w:color w:val="000000"/>
                <w:lang w:eastAsia="id-ID"/>
              </w:rPr>
              <w:t>1</w:t>
            </w:r>
          </w:p>
        </w:tc>
      </w:tr>
    </w:tbl>
    <w:p w:rsidR="00E06424" w:rsidRDefault="00E06424"/>
    <w:sectPr w:rsidR="00E06424"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4165D1"/>
    <w:rsid w:val="006E5970"/>
    <w:rsid w:val="00A91768"/>
    <w:rsid w:val="00BB5203"/>
    <w:rsid w:val="00D74DB4"/>
    <w:rsid w:val="00E06424"/>
    <w:rsid w:val="00EB2317"/>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font5">
    <w:name w:val="font5"/>
    <w:basedOn w:val="Normal"/>
    <w:rsid w:val="00E06424"/>
    <w:pPr>
      <w:spacing w:before="100" w:beforeAutospacing="1" w:after="100" w:afterAutospacing="1" w:line="240" w:lineRule="auto"/>
    </w:pPr>
    <w:rPr>
      <w:rFonts w:ascii="Times New Roman" w:eastAsia="Times New Roman" w:hAnsi="Times New Roman" w:cs="Times New Roman"/>
      <w:color w:val="000000"/>
      <w:lang w:eastAsia="id-ID"/>
    </w:rPr>
  </w:style>
  <w:style w:type="paragraph" w:customStyle="1" w:styleId="font6">
    <w:name w:val="font6"/>
    <w:basedOn w:val="Normal"/>
    <w:rsid w:val="00E06424"/>
    <w:pPr>
      <w:spacing w:before="100" w:beforeAutospacing="1" w:after="100" w:afterAutospacing="1" w:line="240" w:lineRule="auto"/>
    </w:pPr>
    <w:rPr>
      <w:rFonts w:ascii="Times New Roman" w:eastAsia="Times New Roman" w:hAnsi="Times New Roman" w:cs="Times New Roman"/>
      <w:b/>
      <w:bCs/>
      <w:color w:val="000000"/>
      <w:lang w:eastAsia="id-ID"/>
    </w:rPr>
  </w:style>
</w:styles>
</file>

<file path=word/webSettings.xml><?xml version="1.0" encoding="utf-8"?>
<w:webSettings xmlns:r="http://schemas.openxmlformats.org/officeDocument/2006/relationships" xmlns:w="http://schemas.openxmlformats.org/wordprocessingml/2006/main">
  <w:divs>
    <w:div w:id="315493445">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171430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17</Pages>
  <Words>4437</Words>
  <Characters>25295</Characters>
  <Application>Microsoft Office Word</Application>
  <DocSecurity>0</DocSecurity>
  <Lines>210</Lines>
  <Paragraphs>59</Paragraphs>
  <ScaleCrop>false</ScaleCrop>
  <Company/>
  <LinksUpToDate>false</LinksUpToDate>
  <CharactersWithSpaces>29673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2</cp:revision>
  <dcterms:created xsi:type="dcterms:W3CDTF">2012-10-16T01:42:00Z</dcterms:created>
  <dcterms:modified xsi:type="dcterms:W3CDTF">2012-10-16T06:15:00Z</dcterms:modified>
</cp:coreProperties>
</file>